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 Oficial para ciudadanos.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Instituto Electoral y de Participación Ciudadana del Estado de Jalisco.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en el área </w:t>
      </w:r>
      <w:r w:rsidDel="00000000" w:rsidR="00000000" w:rsidRPr="00000000">
        <w:rPr>
          <w:i w:val="1"/>
          <w:sz w:val="24"/>
          <w:szCs w:val="24"/>
          <w:rtl w:val="0"/>
        </w:rPr>
        <w:t xml:space="preserve">metropolitana de Guadalajara si es estatal o en la cabecera municipal si es municipal)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manifiesto que no soy serv</w:t>
      </w:r>
      <w:r w:rsidDel="00000000" w:rsidR="00000000" w:rsidRPr="00000000">
        <w:rPr>
          <w:sz w:val="24"/>
          <w:szCs w:val="24"/>
          <w:rtl w:val="0"/>
        </w:rPr>
        <w:t xml:space="preserve">idora/or pública/co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con fundamento en los artículos 34 al 41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el Instituto Electoral y de Participación Ciudadana del Estado de Jalisco para solicitar que se someta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PLEBISCITO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emitido/realizado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por: 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 siguiente: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X P O S I C I Ó N   D E   M O T I V O S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36 fracción VII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2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persona representante común</w:t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-210184</wp:posOffset>
          </wp:positionV>
          <wp:extent cx="1873045" cy="1004552"/>
          <wp:effectExtent b="0" l="0" r="0" t="0"/>
          <wp:wrapTopAndBottom distB="0" distT="0"/>
          <wp:docPr descr="Logotipo, nombre de la empresa&#10;&#10;El contenido generado por IA puede ser incorrecto." id="1720242450" name="image2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4505325</wp:posOffset>
          </wp:positionH>
          <wp:positionV relativeFrom="paragraph">
            <wp:posOffset>-29208</wp:posOffset>
          </wp:positionV>
          <wp:extent cx="1903730" cy="657225"/>
          <wp:effectExtent b="0" l="0" r="0" t="0"/>
          <wp:wrapSquare wrapText="bothSides" distB="0" distT="0" distL="114300" distR="114300"/>
          <wp:docPr descr="Texto&#10;&#10;El contenido generado por IA puede ser incorrecto." id="1720242449" name="image1.jp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93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F934F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93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934F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934F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1341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1341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+DkYNgrkaPzDdgeWohi5wZJLg==">CgMxLjA4AHIhMUxVUXNlVVU3VzdBY2I2VkhiZ0RnVEdVMXZuRkdmTldz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2025-07-21T15:32:00Z</dcterms:created>
  <dc:creator>SGVM, CAC</dc:creator>
</cp:coreProperties>
</file>