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color w:val="7b7b7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color w:val="7b7b7b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b7b7b"/>
          <w:sz w:val="24"/>
          <w:szCs w:val="24"/>
          <w:rtl w:val="0"/>
        </w:rPr>
        <w:t xml:space="preserve">Formato Propuesta para ciudadano</w:t>
      </w:r>
      <w:r w:rsidDel="00000000" w:rsidR="00000000" w:rsidRPr="00000000">
        <w:rPr>
          <w:b w:val="1"/>
          <w:color w:val="7b7b7b"/>
          <w:sz w:val="24"/>
          <w:szCs w:val="24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Secretaría Ejecutiva del Consejo de Participación Ciudadana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 Popular para la Gobernanza.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en el área metropolitana de Guadalajara si es estatal o en la cabecera municipal si es municipal)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bjzptan8l53e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_________________________________________________________________________bajo protesta de decir verdad </w:t>
      </w:r>
      <w:r w:rsidDel="00000000" w:rsidR="00000000" w:rsidRPr="00000000">
        <w:rPr>
          <w:sz w:val="24"/>
          <w:szCs w:val="24"/>
          <w:rtl w:val="0"/>
        </w:rPr>
        <w:t xml:space="preserve">manifiesto que no soy servidora/or pública/co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 con fundamento en los artículos 111 al 119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la Secretaría Ejecutiva del Consejo de Participación Ciudadana y Popular para la Gobernanza para solicitar que se realice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COMPARECENCIA PÚBLICA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los servidores públicos que ocupan los siguientes cargos: 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___________________________________________________________________________________,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respecto al siguiente/s tema/s: _________________________________________________</w:t>
      </w:r>
    </w:p>
    <w:tbl>
      <w:tblPr>
        <w:tblStyle w:val="Table1"/>
        <w:tblW w:w="10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115 fracción VI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2"/>
        <w:tblW w:w="6997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97"/>
        <w:tblGridChange w:id="0">
          <w:tblGrid>
            <w:gridCol w:w="6997"/>
          </w:tblGrid>
        </w:tblGridChange>
      </w:tblGrid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de 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representante común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2123440</wp:posOffset>
          </wp:positionH>
          <wp:positionV relativeFrom="topMargin">
            <wp:posOffset>352425</wp:posOffset>
          </wp:positionV>
          <wp:extent cx="2181225" cy="75247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122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61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86121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612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6121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6121F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6121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6121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UTM1q5a301m/8XzaEUU5srBZw==">CgMxLjAyDmguYmp6cHRhbjhsNTNlOAByITFsd0didHdMN084NGFZSzdNQU5NUlZmQ21rMVBKVzJEaA==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2025-07-11T17:55:00Z</dcterms:created>
  <dc:creator>SGVM, CAC</dc:creator>
</cp:coreProperties>
</file>